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D1A" w:rsidRPr="004D2D1A" w:rsidRDefault="004D2D1A" w:rsidP="004D2D1A">
      <w:pPr>
        <w:pStyle w:val="Tekstpodstawowy"/>
        <w:ind w:left="0" w:firstLine="0"/>
        <w:jc w:val="right"/>
        <w:rPr>
          <w:rFonts w:ascii="Arial" w:hAnsi="Arial" w:cs="Arial"/>
          <w:sz w:val="20"/>
          <w:szCs w:val="20"/>
          <w:lang w:val="pl-PL"/>
        </w:rPr>
      </w:pPr>
      <w:bookmarkStart w:id="0" w:name="_GoBack"/>
      <w:r w:rsidRPr="004D2D1A">
        <w:rPr>
          <w:rFonts w:ascii="Arial" w:hAnsi="Arial" w:cs="Arial"/>
          <w:sz w:val="20"/>
          <w:szCs w:val="20"/>
          <w:lang w:val="pl-PL"/>
        </w:rPr>
        <w:t>Załącznik nr 12</w:t>
      </w:r>
    </w:p>
    <w:bookmarkEnd w:id="0"/>
    <w:p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lastRenderedPageBreak/>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rsidR="002D755B" w:rsidRPr="00D1074E" w:rsidRDefault="002D755B" w:rsidP="002D755B">
      <w:pPr>
        <w:pStyle w:val="Tekstpodstawowywcity"/>
        <w:spacing w:line="276" w:lineRule="auto"/>
        <w:ind w:hanging="283"/>
        <w:rPr>
          <w:rFonts w:ascii="Arial" w:hAnsi="Arial" w:cs="Arial"/>
          <w:i/>
          <w:sz w:val="20"/>
          <w:szCs w:val="20"/>
        </w:rPr>
      </w:pPr>
      <w:r w:rsidRPr="00D1074E">
        <w:rPr>
          <w:rFonts w:ascii="Arial" w:hAnsi="Arial" w:cs="Arial"/>
          <w:i/>
          <w:sz w:val="20"/>
          <w:szCs w:val="20"/>
        </w:rPr>
        <w:t xml:space="preserve">Ma zastosowanie do: </w:t>
      </w:r>
    </w:p>
    <w:p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2D755B" w:rsidRPr="00D1074E" w:rsidRDefault="002D755B" w:rsidP="002D755B">
      <w:pPr>
        <w:pStyle w:val="Tekstpodstawowyzwciciem2"/>
        <w:spacing w:line="276" w:lineRule="auto"/>
        <w:ind w:left="0" w:firstLine="0"/>
        <w:jc w:val="center"/>
        <w:rPr>
          <w:b/>
          <w:lang w:val="pl-PL"/>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1" w:name="_Hlk78460753"/>
    </w:p>
    <w:bookmarkEnd w:id="1"/>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2" w:name="_Hlk78479077"/>
      <w:r w:rsidRPr="00D1074E">
        <w:rPr>
          <w:rFonts w:ascii="Arial" w:hAnsi="Arial" w:cs="Arial"/>
          <w:sz w:val="20"/>
          <w:szCs w:val="20"/>
        </w:rPr>
        <w:t xml:space="preserve">wysokość zadłużenia, okres opóźnienia/zwłoki   </w:t>
      </w:r>
      <w:bookmarkEnd w:id="2"/>
      <w:r w:rsidRPr="00D1074E">
        <w:rPr>
          <w:rFonts w:ascii="Arial" w:hAnsi="Arial" w:cs="Arial"/>
          <w:bCs/>
          <w:sz w:val="20"/>
          <w:szCs w:val="20"/>
        </w:rPr>
        <w:br w:type="page"/>
      </w:r>
    </w:p>
    <w:p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lastRenderedPageBreak/>
        <w:t>WZÓR NR</w:t>
      </w:r>
      <w:r w:rsidRPr="00D1074E">
        <w:rPr>
          <w:rFonts w:ascii="Arial" w:hAnsi="Arial" w:cs="Arial"/>
          <w:sz w:val="20"/>
          <w:szCs w:val="20"/>
        </w:rPr>
        <w:t xml:space="preserve"> 2</w:t>
      </w:r>
    </w:p>
    <w:p w:rsidR="002D755B" w:rsidRPr="00D1074E" w:rsidRDefault="002D755B" w:rsidP="002D755B">
      <w:pPr>
        <w:pStyle w:val="Tekstpodstawowywcity"/>
        <w:spacing w:line="276" w:lineRule="auto"/>
        <w:ind w:hanging="283"/>
        <w:rPr>
          <w:rFonts w:ascii="Arial" w:hAnsi="Arial" w:cs="Arial"/>
          <w:i/>
          <w:sz w:val="20"/>
          <w:szCs w:val="20"/>
        </w:rPr>
      </w:pPr>
      <w:r w:rsidRPr="00D1074E">
        <w:rPr>
          <w:rFonts w:ascii="Arial" w:hAnsi="Arial" w:cs="Arial"/>
          <w:i/>
          <w:sz w:val="20"/>
          <w:szCs w:val="20"/>
        </w:rPr>
        <w:t xml:space="preserve">Ma zastosowanie do małżonka: </w:t>
      </w:r>
    </w:p>
    <w:p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2D755B" w:rsidRPr="00D1074E" w:rsidRDefault="002D755B" w:rsidP="002D755B">
      <w:pPr>
        <w:pStyle w:val="Tekstpodstawowyzwciciem2"/>
        <w:spacing w:line="276" w:lineRule="auto"/>
        <w:ind w:left="0" w:firstLine="0"/>
        <w:jc w:val="center"/>
        <w:rPr>
          <w:b/>
          <w:lang w:val="pl-PL"/>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lastRenderedPageBreak/>
        <w:t>WZÓR NR 3</w:t>
      </w:r>
    </w:p>
    <w:p w:rsidR="002D755B" w:rsidRPr="00D1074E" w:rsidRDefault="002D755B" w:rsidP="002D755B">
      <w:pPr>
        <w:pStyle w:val="Tekstpodstawowywcity"/>
        <w:spacing w:line="276" w:lineRule="auto"/>
        <w:ind w:left="0" w:firstLine="0"/>
        <w:rPr>
          <w:rFonts w:ascii="Arial" w:hAnsi="Arial" w:cs="Arial"/>
          <w:i/>
          <w:sz w:val="20"/>
          <w:szCs w:val="20"/>
        </w:rPr>
      </w:pPr>
      <w:r w:rsidRPr="00D1074E">
        <w:rPr>
          <w:rFonts w:ascii="Arial" w:hAnsi="Arial" w:cs="Arial"/>
          <w:i/>
          <w:sz w:val="20"/>
          <w:szCs w:val="20"/>
        </w:rPr>
        <w:t>Ma zastosowanie do reprezentanta Kontrahenta, np. pełnomocnika, wspólnika spółki osobowej, członka zarządu, prokurenta itp. lub osoby działającej w imieniu małżonka Kontrahenta, np. pełnomocnika, przedstawiciela ustawowego itp.</w:t>
      </w:r>
    </w:p>
    <w:p w:rsidR="002D755B" w:rsidRPr="00D1074E" w:rsidRDefault="002D755B" w:rsidP="002D755B">
      <w:pPr>
        <w:pStyle w:val="Tekstpodstawowywcity"/>
        <w:spacing w:line="276" w:lineRule="auto"/>
        <w:ind w:left="0" w:firstLine="0"/>
        <w:rPr>
          <w:rFonts w:ascii="Arial" w:hAnsi="Arial" w:cs="Arial"/>
          <w:i/>
          <w:sz w:val="20"/>
          <w:szCs w:val="20"/>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rsidR="002D755B" w:rsidRPr="00D1074E" w:rsidRDefault="002D755B" w:rsidP="002D755B">
      <w:pPr>
        <w:pStyle w:val="Akapitzlist"/>
        <w:spacing w:line="276" w:lineRule="auto"/>
        <w:jc w:val="both"/>
        <w:rPr>
          <w:rFonts w:ascii="Arial" w:hAnsi="Arial" w:cs="Arial"/>
          <w:sz w:val="20"/>
          <w:szCs w:val="20"/>
        </w:rPr>
      </w:pPr>
    </w:p>
    <w:p w:rsidR="002D755B" w:rsidRPr="00D1074E" w:rsidRDefault="002D755B" w:rsidP="002D755B">
      <w:pPr>
        <w:spacing w:line="276" w:lineRule="auto"/>
      </w:pPr>
    </w:p>
    <w:sectPr w:rsidR="002D755B" w:rsidRPr="00D1074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55B" w:rsidRDefault="002D755B" w:rsidP="002D755B">
      <w:pPr>
        <w:spacing w:after="0" w:line="240" w:lineRule="auto"/>
      </w:pPr>
      <w:r>
        <w:separator/>
      </w:r>
    </w:p>
  </w:endnote>
  <w:endnote w:type="continuationSeparator" w:id="0">
    <w:p w:rsidR="002D755B" w:rsidRDefault="002D755B"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9635023"/>
      <w:docPartObj>
        <w:docPartGallery w:val="Page Numbers (Bottom of Page)"/>
        <w:docPartUnique/>
      </w:docPartObj>
    </w:sdtPr>
    <w:sdtEndPr>
      <w:rPr>
        <w:sz w:val="16"/>
        <w:szCs w:val="16"/>
      </w:rPr>
    </w:sdtEndPr>
    <w:sdtContent>
      <w:p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4D2D1A">
          <w:rPr>
            <w:noProof/>
            <w:sz w:val="16"/>
            <w:szCs w:val="16"/>
          </w:rPr>
          <w:t>1</w:t>
        </w:r>
        <w:r w:rsidRPr="009D66B7">
          <w:rPr>
            <w:sz w:val="16"/>
            <w:szCs w:val="16"/>
          </w:rPr>
          <w:fldChar w:fldCharType="end"/>
        </w:r>
      </w:p>
    </w:sdtContent>
  </w:sdt>
  <w:p w:rsidR="009D66B7" w:rsidRDefault="009D66B7">
    <w:pPr>
      <w:pStyle w:val="Stopka"/>
    </w:pPr>
  </w:p>
  <w:p w:rsidR="009D66B7" w:rsidRDefault="009D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55B" w:rsidRDefault="002D755B" w:rsidP="002D755B">
      <w:pPr>
        <w:spacing w:after="0" w:line="240" w:lineRule="auto"/>
      </w:pPr>
      <w:r>
        <w:separator/>
      </w:r>
    </w:p>
  </w:footnote>
  <w:footnote w:type="continuationSeparator" w:id="0">
    <w:p w:rsidR="002D755B" w:rsidRDefault="002D755B" w:rsidP="002D755B">
      <w:pPr>
        <w:spacing w:after="0" w:line="240" w:lineRule="auto"/>
      </w:pPr>
      <w:r>
        <w:continuationSeparator/>
      </w:r>
    </w:p>
  </w:footnote>
  <w:footnote w:id="1">
    <w:p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
  </w:num>
  <w:num w:numId="5">
    <w:abstractNumId w:val="0"/>
  </w:num>
  <w:num w:numId="6">
    <w:abstractNumId w:val="8"/>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55B"/>
    <w:rsid w:val="002D755B"/>
    <w:rsid w:val="004117F5"/>
    <w:rsid w:val="004D2D1A"/>
    <w:rsid w:val="009D66B7"/>
    <w:rsid w:val="00A90C22"/>
    <w:rsid w:val="00C9393D"/>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DC6D2"/>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1425</Words>
  <Characters>8553</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2</cp:revision>
  <dcterms:created xsi:type="dcterms:W3CDTF">2025-03-03T13:52:00Z</dcterms:created>
  <dcterms:modified xsi:type="dcterms:W3CDTF">2025-03-03T13:52:00Z</dcterms:modified>
</cp:coreProperties>
</file>